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66C" w:rsidRPr="0083625C" w:rsidRDefault="00C0166C" w:rsidP="00100AF9">
      <w:pPr>
        <w:spacing w:line="5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625C">
        <w:rPr>
          <w:rFonts w:ascii="Times New Roman" w:hAnsi="Times New Roman" w:cs="Times New Roman"/>
          <w:b/>
          <w:sz w:val="36"/>
          <w:szCs w:val="36"/>
        </w:rPr>
        <w:t>机械工程学院</w:t>
      </w:r>
      <w:r w:rsidRPr="0083625C">
        <w:rPr>
          <w:rFonts w:ascii="Times New Roman" w:hAnsi="Times New Roman" w:cs="Times New Roman"/>
          <w:b/>
          <w:sz w:val="36"/>
          <w:szCs w:val="36"/>
        </w:rPr>
        <w:t>2019</w:t>
      </w:r>
      <w:r w:rsidRPr="0083625C">
        <w:rPr>
          <w:rFonts w:ascii="Times New Roman" w:hAnsi="Times New Roman" w:cs="Times New Roman"/>
          <w:b/>
          <w:sz w:val="36"/>
          <w:szCs w:val="36"/>
        </w:rPr>
        <w:t>年硕士研究生指导教师</w:t>
      </w:r>
    </w:p>
    <w:p w:rsidR="00985473" w:rsidRPr="00C0166C" w:rsidRDefault="00C0166C" w:rsidP="00100AF9">
      <w:pPr>
        <w:spacing w:line="56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83625C">
        <w:rPr>
          <w:rFonts w:ascii="Times New Roman" w:hAnsi="Times New Roman" w:cs="Times New Roman"/>
          <w:b/>
          <w:sz w:val="36"/>
          <w:szCs w:val="36"/>
        </w:rPr>
        <w:t>上岗招生申请制实施细则</w:t>
      </w:r>
    </w:p>
    <w:p w:rsidR="00281F11" w:rsidRPr="00281F11" w:rsidRDefault="00281F11" w:rsidP="00100AF9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B866BB" w:rsidRDefault="00F66676" w:rsidP="008076D3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为规范机械工程学院硕士研究生指导教师</w:t>
      </w:r>
      <w:r w:rsidR="00BC3026">
        <w:rPr>
          <w:rFonts w:ascii="Times New Roman" w:eastAsia="仿宋" w:hAnsi="Times New Roman" w:cs="Times New Roman" w:hint="eastAsia"/>
          <w:kern w:val="0"/>
          <w:sz w:val="32"/>
          <w:szCs w:val="32"/>
        </w:rPr>
        <w:t>（以下简称导师）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上岗招生工作，根据</w:t>
      </w:r>
      <w:r w:rsidR="00F26589" w:rsidRPr="00F26589">
        <w:rPr>
          <w:rFonts w:ascii="Times New Roman" w:eastAsia="仿宋" w:hAnsi="Times New Roman" w:cs="Times New Roman" w:hint="eastAsia"/>
          <w:kern w:val="0"/>
          <w:sz w:val="32"/>
          <w:szCs w:val="32"/>
        </w:rPr>
        <w:t>《南通大学研究生指导教师管理办法》</w:t>
      </w:r>
      <w:r w:rsidRPr="00F66676">
        <w:rPr>
          <w:rFonts w:ascii="Times New Roman" w:eastAsia="仿宋" w:hAnsi="Times New Roman" w:cs="Times New Roman" w:hint="eastAsia"/>
          <w:kern w:val="0"/>
          <w:sz w:val="32"/>
          <w:szCs w:val="32"/>
        </w:rPr>
        <w:t>（通大〔</w:t>
      </w:r>
      <w:r w:rsidRPr="00F66676">
        <w:rPr>
          <w:rFonts w:ascii="Times New Roman" w:eastAsia="仿宋" w:hAnsi="Times New Roman" w:cs="Times New Roman" w:hint="eastAsia"/>
          <w:kern w:val="0"/>
          <w:sz w:val="32"/>
          <w:szCs w:val="32"/>
        </w:rPr>
        <w:t>2018</w:t>
      </w:r>
      <w:r w:rsidRPr="00F66676">
        <w:rPr>
          <w:rFonts w:ascii="Times New Roman" w:eastAsia="仿宋" w:hAnsi="Times New Roman" w:cs="Times New Roman" w:hint="eastAsia"/>
          <w:kern w:val="0"/>
          <w:sz w:val="32"/>
          <w:szCs w:val="32"/>
        </w:rPr>
        <w:t>〕</w:t>
      </w:r>
      <w:r w:rsidRPr="00F66676">
        <w:rPr>
          <w:rFonts w:ascii="Times New Roman" w:eastAsia="仿宋" w:hAnsi="Times New Roman" w:cs="Times New Roman" w:hint="eastAsia"/>
          <w:kern w:val="0"/>
          <w:sz w:val="32"/>
          <w:szCs w:val="32"/>
        </w:rPr>
        <w:t>19</w:t>
      </w:r>
      <w:r w:rsidRPr="00F66676">
        <w:rPr>
          <w:rFonts w:ascii="Times New Roman" w:eastAsia="仿宋" w:hAnsi="Times New Roman" w:cs="Times New Roman" w:hint="eastAsia"/>
          <w:kern w:val="0"/>
          <w:sz w:val="32"/>
          <w:szCs w:val="32"/>
        </w:rPr>
        <w:t>号）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文件精神，结合学院</w:t>
      </w:r>
      <w:r w:rsidR="00FB288A" w:rsidRPr="00FB288A">
        <w:rPr>
          <w:rFonts w:ascii="Times New Roman" w:eastAsia="仿宋" w:hAnsi="Times New Roman" w:cs="Times New Roman" w:hint="eastAsia"/>
          <w:kern w:val="0"/>
          <w:sz w:val="32"/>
          <w:szCs w:val="32"/>
        </w:rPr>
        <w:t>学科发展</w:t>
      </w:r>
      <w:r w:rsidR="00B866BB">
        <w:rPr>
          <w:rFonts w:ascii="Times New Roman" w:eastAsia="仿宋" w:hAnsi="Times New Roman" w:cs="Times New Roman" w:hint="eastAsia"/>
          <w:kern w:val="0"/>
          <w:sz w:val="32"/>
          <w:szCs w:val="32"/>
        </w:rPr>
        <w:t>规划</w:t>
      </w:r>
      <w:r w:rsidR="009C7B9F">
        <w:rPr>
          <w:rFonts w:ascii="Times New Roman" w:eastAsia="仿宋" w:hAnsi="Times New Roman" w:cs="Times New Roman" w:hint="eastAsia"/>
          <w:kern w:val="0"/>
          <w:sz w:val="32"/>
          <w:szCs w:val="32"/>
        </w:rPr>
        <w:t>及</w:t>
      </w:r>
      <w:r w:rsidR="00FB288A" w:rsidRPr="00FB288A">
        <w:rPr>
          <w:rFonts w:ascii="Times New Roman" w:eastAsia="仿宋" w:hAnsi="Times New Roman" w:cs="Times New Roman" w:hint="eastAsia"/>
          <w:kern w:val="0"/>
          <w:sz w:val="32"/>
          <w:szCs w:val="32"/>
        </w:rPr>
        <w:t>特点，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特</w:t>
      </w:r>
      <w:r w:rsidR="00FB288A" w:rsidRPr="00FB288A">
        <w:rPr>
          <w:rFonts w:ascii="Times New Roman" w:eastAsia="仿宋" w:hAnsi="Times New Roman" w:cs="Times New Roman" w:hint="eastAsia"/>
          <w:kern w:val="0"/>
          <w:sz w:val="32"/>
          <w:szCs w:val="32"/>
        </w:rPr>
        <w:t>制定本实施细则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:rsidR="001B1757" w:rsidRPr="00A253DC" w:rsidRDefault="001B1757" w:rsidP="008076D3">
      <w:pPr>
        <w:autoSpaceDE w:val="0"/>
        <w:autoSpaceDN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r w:rsidRPr="00A253DC"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一、</w:t>
      </w:r>
      <w:r w:rsidR="00D0101A" w:rsidRPr="00A253DC"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招生资格</w:t>
      </w:r>
    </w:p>
    <w:p w:rsidR="00D0101A" w:rsidRDefault="00D0101A" w:rsidP="008076D3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（一）</w:t>
      </w:r>
      <w:r w:rsidR="00BE691A">
        <w:rPr>
          <w:rFonts w:ascii="仿宋_GB2312" w:eastAsia="仿宋_GB2312" w:cs="仿宋_GB2312" w:hint="eastAsia"/>
          <w:kern w:val="0"/>
          <w:sz w:val="32"/>
          <w:szCs w:val="32"/>
        </w:rPr>
        <w:t>基本条件</w:t>
      </w:r>
    </w:p>
    <w:p w:rsidR="00BE691A" w:rsidRDefault="00BE691A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1. </w:t>
      </w:r>
      <w:r w:rsidRPr="00BE691A">
        <w:rPr>
          <w:rFonts w:ascii="Times New Roman" w:eastAsia="仿宋" w:hAnsi="Times New Roman" w:cs="Times New Roman" w:hint="eastAsia"/>
          <w:kern w:val="0"/>
          <w:sz w:val="32"/>
          <w:szCs w:val="32"/>
        </w:rPr>
        <w:t>拥护党的基本路线和教育方针，热爱研究生教育事业，熟悉国家有关研究生教育的政策法规，教书育人，为人师表，具有高尚的科学道德、严谨的治学态度，认真履行导师职责。</w:t>
      </w:r>
    </w:p>
    <w:p w:rsidR="00D0101A" w:rsidRPr="00BE691A" w:rsidRDefault="00BE691A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2. </w:t>
      </w:r>
      <w:r w:rsidRPr="00BE691A">
        <w:rPr>
          <w:rFonts w:ascii="Times New Roman" w:eastAsia="仿宋" w:hAnsi="Times New Roman" w:cs="Times New Roman" w:hint="eastAsia"/>
          <w:kern w:val="0"/>
          <w:sz w:val="32"/>
          <w:szCs w:val="32"/>
        </w:rPr>
        <w:t>取得南通大学硕士研究生导师任职资格，</w:t>
      </w:r>
      <w:r w:rsidR="00D0101A" w:rsidRPr="00BE691A">
        <w:rPr>
          <w:rFonts w:ascii="Times New Roman" w:eastAsia="仿宋" w:hAnsi="Times New Roman" w:cs="Times New Roman" w:hint="eastAsia"/>
          <w:kern w:val="0"/>
          <w:sz w:val="32"/>
          <w:szCs w:val="32"/>
        </w:rPr>
        <w:t>在学校规定的退休年龄前能够完整地指导一届研究生，并保证每年有半年以上的时间在岗指导研究生。</w:t>
      </w:r>
    </w:p>
    <w:p w:rsidR="00D0101A" w:rsidRDefault="00D0101A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（二）科研成果要求</w:t>
      </w:r>
    </w:p>
    <w:p w:rsidR="0094364B" w:rsidRDefault="00281F11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近</w:t>
      </w:r>
      <w:r w:rsidR="0094364B">
        <w:rPr>
          <w:rFonts w:ascii="Times New Roman" w:eastAsia="仿宋" w:hAnsi="Times New Roman" w:cs="Times New Roman" w:hint="eastAsia"/>
          <w:kern w:val="0"/>
          <w:sz w:val="32"/>
          <w:szCs w:val="32"/>
        </w:rPr>
        <w:t>三</w:t>
      </w:r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="0094364B">
        <w:rPr>
          <w:rFonts w:ascii="Times New Roman" w:eastAsia="仿宋" w:hAnsi="Times New Roman" w:cs="Times New Roman"/>
          <w:kern w:val="0"/>
          <w:sz w:val="32"/>
          <w:szCs w:val="32"/>
        </w:rPr>
        <w:t>取得</w:t>
      </w:r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与本专业相关的</w:t>
      </w:r>
      <w:r w:rsidR="0094364B">
        <w:rPr>
          <w:rFonts w:ascii="Times New Roman" w:eastAsia="仿宋" w:hAnsi="Times New Roman" w:cs="Times New Roman"/>
          <w:kern w:val="0"/>
          <w:sz w:val="32"/>
          <w:szCs w:val="32"/>
        </w:rPr>
        <w:t>以下科研成果之一</w:t>
      </w:r>
      <w:r w:rsidR="0094364B">
        <w:rPr>
          <w:rFonts w:ascii="Times New Roman" w:eastAsia="仿宋" w:hAnsi="Times New Roman" w:cs="Times New Roman" w:hint="eastAsia"/>
          <w:kern w:val="0"/>
          <w:sz w:val="32"/>
          <w:szCs w:val="32"/>
        </w:rPr>
        <w:t>：</w:t>
      </w:r>
    </w:p>
    <w:p w:rsidR="0094364B" w:rsidRDefault="0094364B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发表</w:t>
      </w:r>
      <w:r w:rsidR="00904818">
        <w:rPr>
          <w:rFonts w:ascii="Times New Roman" w:eastAsia="仿宋" w:hAnsi="Times New Roman" w:cs="Times New Roman" w:hint="eastAsia"/>
          <w:kern w:val="0"/>
          <w:sz w:val="32"/>
          <w:szCs w:val="32"/>
        </w:rPr>
        <w:t>三级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以上</w:t>
      </w:r>
      <w:r w:rsidR="00281F11" w:rsidRPr="00281F11">
        <w:rPr>
          <w:rFonts w:ascii="Times New Roman" w:eastAsia="仿宋" w:hAnsi="Times New Roman" w:cs="Times New Roman"/>
          <w:kern w:val="0"/>
          <w:sz w:val="32"/>
          <w:szCs w:val="32"/>
        </w:rPr>
        <w:t>论文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（第一作者</w:t>
      </w:r>
      <w:r w:rsidR="00856F21">
        <w:rPr>
          <w:rFonts w:ascii="Times New Roman" w:eastAsia="仿宋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或通讯作者</w:t>
      </w:r>
      <w:r w:rsidR="00A253DC">
        <w:rPr>
          <w:rFonts w:ascii="Times New Roman" w:eastAsia="仿宋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或学生第一作者</w:t>
      </w:r>
      <w:r w:rsidR="00856F21">
        <w:rPr>
          <w:rFonts w:ascii="Times New Roman" w:eastAsia="仿宋" w:hAnsi="Times New Roman" w:cs="Times New Roman" w:hint="eastAsia"/>
          <w:kern w:val="0"/>
          <w:sz w:val="32"/>
          <w:szCs w:val="32"/>
        </w:rPr>
        <w:t>、本人第二作者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篇；</w:t>
      </w:r>
    </w:p>
    <w:p w:rsidR="0094364B" w:rsidRDefault="0094364B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正式出版</w:t>
      </w:r>
      <w:r w:rsidR="00281F11" w:rsidRPr="00281F11">
        <w:rPr>
          <w:rFonts w:ascii="Times New Roman" w:eastAsia="仿宋" w:hAnsi="Times New Roman" w:cs="Times New Roman"/>
          <w:kern w:val="0"/>
          <w:sz w:val="32"/>
          <w:szCs w:val="32"/>
        </w:rPr>
        <w:t>专著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（副主编以上）</w:t>
      </w:r>
      <w:r w:rsidR="007C1988"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 w:rsidR="007C1988">
        <w:rPr>
          <w:rFonts w:ascii="Times New Roman" w:eastAsia="仿宋" w:hAnsi="Times New Roman" w:cs="Times New Roman" w:hint="eastAsia"/>
          <w:kern w:val="0"/>
          <w:sz w:val="32"/>
          <w:szCs w:val="32"/>
        </w:rPr>
        <w:t>部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；</w:t>
      </w:r>
      <w:bookmarkStart w:id="0" w:name="_GoBack"/>
      <w:bookmarkEnd w:id="0"/>
    </w:p>
    <w:p w:rsidR="0094364B" w:rsidRDefault="0094364B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3.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获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授权发明</w:t>
      </w:r>
      <w:r w:rsidR="00281F11" w:rsidRPr="00281F11">
        <w:rPr>
          <w:rFonts w:ascii="Times New Roman" w:eastAsia="仿宋" w:hAnsi="Times New Roman" w:cs="Times New Roman"/>
          <w:kern w:val="0"/>
          <w:sz w:val="32"/>
          <w:szCs w:val="32"/>
        </w:rPr>
        <w:t>专利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（排名第一）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件；</w:t>
      </w:r>
    </w:p>
    <w:p w:rsidR="00281F11" w:rsidRDefault="0094364B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4. </w:t>
      </w:r>
      <w:r w:rsidR="00281F11" w:rsidRPr="00281F11">
        <w:rPr>
          <w:rFonts w:ascii="Times New Roman" w:eastAsia="仿宋" w:hAnsi="Times New Roman" w:cs="Times New Roman"/>
          <w:kern w:val="0"/>
          <w:sz w:val="32"/>
          <w:szCs w:val="32"/>
        </w:rPr>
        <w:t>获</w:t>
      </w:r>
      <w:r w:rsidR="00D13530">
        <w:rPr>
          <w:rFonts w:ascii="Times New Roman" w:eastAsia="仿宋" w:hAnsi="Times New Roman" w:cs="Times New Roman" w:hint="eastAsia"/>
          <w:kern w:val="0"/>
          <w:sz w:val="32"/>
          <w:szCs w:val="32"/>
        </w:rPr>
        <w:t>国家</w:t>
      </w:r>
      <w:r w:rsidR="00D13530">
        <w:rPr>
          <w:rFonts w:ascii="Times New Roman" w:eastAsia="仿宋" w:hAnsi="Times New Roman" w:cs="Times New Roman"/>
          <w:kern w:val="0"/>
          <w:sz w:val="32"/>
          <w:szCs w:val="32"/>
        </w:rPr>
        <w:t>级</w:t>
      </w:r>
      <w:r w:rsidR="00D13530">
        <w:rPr>
          <w:rFonts w:ascii="Times New Roman" w:eastAsia="仿宋" w:hAnsi="Times New Roman" w:cs="Times New Roman" w:hint="eastAsia"/>
          <w:kern w:val="0"/>
          <w:sz w:val="32"/>
          <w:szCs w:val="32"/>
        </w:rPr>
        <w:t>教学科研成果</w:t>
      </w:r>
      <w:r w:rsidR="00D13530">
        <w:rPr>
          <w:rFonts w:ascii="Times New Roman" w:eastAsia="仿宋" w:hAnsi="Times New Roman" w:cs="Times New Roman"/>
          <w:kern w:val="0"/>
          <w:sz w:val="32"/>
          <w:szCs w:val="32"/>
        </w:rPr>
        <w:t>奖</w:t>
      </w:r>
      <w:r w:rsidR="00D13530">
        <w:rPr>
          <w:rFonts w:ascii="Times New Roman" w:eastAsia="仿宋" w:hAnsi="Times New Roman" w:cs="Times New Roman" w:hint="eastAsia"/>
          <w:kern w:val="0"/>
          <w:sz w:val="32"/>
          <w:szCs w:val="32"/>
        </w:rPr>
        <w:t>（有排名）</w:t>
      </w:r>
      <w:r w:rsidR="002D637B"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 w:rsidR="002D637B">
        <w:rPr>
          <w:rFonts w:ascii="Times New Roman" w:eastAsia="仿宋" w:hAnsi="Times New Roman" w:cs="Times New Roman" w:hint="eastAsia"/>
          <w:kern w:val="0"/>
          <w:sz w:val="32"/>
          <w:szCs w:val="32"/>
        </w:rPr>
        <w:t>项；</w:t>
      </w:r>
    </w:p>
    <w:p w:rsidR="00D13530" w:rsidRDefault="002D637B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5. </w:t>
      </w:r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获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省部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级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教学科研成果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奖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（一等奖排名前七，二等奖排名前五，三等奖排名前三）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项；</w:t>
      </w:r>
    </w:p>
    <w:p w:rsidR="002D637B" w:rsidRPr="00281F11" w:rsidRDefault="002D637B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6. </w:t>
      </w:r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获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市厅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级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教学科研成果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奖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（一等奖排名前三，二等奖排名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lastRenderedPageBreak/>
        <w:t>前二，三等奖排名前一）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项</w:t>
      </w:r>
      <w:r w:rsidR="00A253DC"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:rsidR="00D0101A" w:rsidRDefault="00D0101A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（三）科研项目及经费要求</w:t>
      </w:r>
    </w:p>
    <w:p w:rsidR="00281F11" w:rsidRPr="00281F11" w:rsidRDefault="00281F11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有在</w:t>
      </w:r>
      <w:proofErr w:type="gramStart"/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研</w:t>
      </w:r>
      <w:proofErr w:type="gramEnd"/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的市厅级以上科研项目，或主持在</w:t>
      </w:r>
      <w:proofErr w:type="gramStart"/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研</w:t>
      </w:r>
      <w:proofErr w:type="gramEnd"/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的横向科研项目，可独立支配的科研经费不少于</w:t>
      </w:r>
      <w:r w:rsidR="00CF4159">
        <w:rPr>
          <w:rFonts w:ascii="Times New Roman" w:eastAsia="仿宋" w:hAnsi="Times New Roman" w:cs="Times New Roman"/>
          <w:kern w:val="0"/>
          <w:sz w:val="32"/>
          <w:szCs w:val="32"/>
        </w:rPr>
        <w:t>6</w:t>
      </w:r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万元。</w:t>
      </w:r>
    </w:p>
    <w:p w:rsidR="00281F11" w:rsidRDefault="00281F11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若无在</w:t>
      </w:r>
      <w:proofErr w:type="gramStart"/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研</w:t>
      </w:r>
      <w:proofErr w:type="gramEnd"/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的科研项目，</w:t>
      </w:r>
      <w:proofErr w:type="gramStart"/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须近</w:t>
      </w:r>
      <w:r w:rsidR="0094364B">
        <w:rPr>
          <w:rFonts w:ascii="Times New Roman" w:eastAsia="仿宋" w:hAnsi="Times New Roman" w:cs="Times New Roman" w:hint="eastAsia"/>
          <w:kern w:val="0"/>
          <w:sz w:val="32"/>
          <w:szCs w:val="32"/>
        </w:rPr>
        <w:t>三</w:t>
      </w:r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proofErr w:type="gramEnd"/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曾主持过市厅级以上科研项目</w:t>
      </w:r>
      <w:r w:rsidR="00CF4159">
        <w:rPr>
          <w:rFonts w:ascii="Times New Roman" w:eastAsia="仿宋" w:hAnsi="Times New Roman" w:cs="Times New Roman" w:hint="eastAsia"/>
          <w:kern w:val="0"/>
          <w:sz w:val="32"/>
          <w:szCs w:val="32"/>
        </w:rPr>
        <w:t>，</w:t>
      </w:r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可独立支配的科研经费不少于</w:t>
      </w:r>
      <w:r w:rsidR="00A253DC">
        <w:rPr>
          <w:rFonts w:ascii="Times New Roman" w:eastAsia="仿宋" w:hAnsi="Times New Roman" w:cs="Times New Roman"/>
          <w:kern w:val="0"/>
          <w:sz w:val="32"/>
          <w:szCs w:val="32"/>
        </w:rPr>
        <w:t>12</w:t>
      </w:r>
      <w:r w:rsidRPr="00281F11">
        <w:rPr>
          <w:rFonts w:ascii="Times New Roman" w:eastAsia="仿宋" w:hAnsi="Times New Roman" w:cs="Times New Roman"/>
          <w:kern w:val="0"/>
          <w:sz w:val="32"/>
          <w:szCs w:val="32"/>
        </w:rPr>
        <w:t>万元</w:t>
      </w:r>
      <w:r w:rsidR="00CF4159"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:rsidR="00A253DC" w:rsidRPr="00A253DC" w:rsidRDefault="00A253DC" w:rsidP="008076D3">
      <w:pPr>
        <w:autoSpaceDE w:val="0"/>
        <w:autoSpaceDN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r w:rsidRPr="00A253DC"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二、上岗招生人数</w:t>
      </w:r>
    </w:p>
    <w:p w:rsidR="00A253DC" w:rsidRDefault="00A253DC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学院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根据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研究生招生指标规模，适度控制每位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导师指导研究生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数量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原则上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每位导师新增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招收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硕士研究生人数不超过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人。</w:t>
      </w:r>
      <w:r w:rsidRPr="00DF72CA">
        <w:rPr>
          <w:rFonts w:ascii="Times New Roman" w:eastAsia="仿宋" w:hAnsi="Times New Roman" w:cs="Times New Roman"/>
          <w:kern w:val="0"/>
          <w:sz w:val="32"/>
          <w:szCs w:val="32"/>
        </w:rPr>
        <w:t>在人才培养、科学研究、服务地方等工作中</w:t>
      </w:r>
      <w:proofErr w:type="gramStart"/>
      <w:r w:rsidRPr="00DF72CA">
        <w:rPr>
          <w:rFonts w:ascii="Times New Roman" w:eastAsia="仿宋" w:hAnsi="Times New Roman" w:cs="Times New Roman"/>
          <w:kern w:val="0"/>
          <w:sz w:val="32"/>
          <w:szCs w:val="32"/>
        </w:rPr>
        <w:t>作出</w:t>
      </w:r>
      <w:proofErr w:type="gramEnd"/>
      <w:r w:rsidRPr="00DF72CA">
        <w:rPr>
          <w:rFonts w:ascii="Times New Roman" w:eastAsia="仿宋" w:hAnsi="Times New Roman" w:cs="Times New Roman"/>
          <w:kern w:val="0"/>
          <w:sz w:val="32"/>
          <w:szCs w:val="32"/>
        </w:rPr>
        <w:t>突出成绩的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导师</w:t>
      </w:r>
      <w:r w:rsidRPr="00DF72CA">
        <w:rPr>
          <w:rFonts w:ascii="Times New Roman" w:eastAsia="仿宋" w:hAnsi="Times New Roman" w:cs="Times New Roman"/>
          <w:kern w:val="0"/>
          <w:sz w:val="32"/>
          <w:szCs w:val="32"/>
        </w:rPr>
        <w:t>，可适当增加其招收研究生的数量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:rsidR="00B866BB" w:rsidRPr="00A253DC" w:rsidRDefault="00C36D2B" w:rsidP="008076D3">
      <w:pPr>
        <w:autoSpaceDE w:val="0"/>
        <w:autoSpaceDN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三</w:t>
      </w:r>
      <w:r w:rsidR="00B866BB" w:rsidRPr="00A253DC"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、上岗招生程序</w:t>
      </w:r>
    </w:p>
    <w:p w:rsidR="00B55FC9" w:rsidRDefault="00B55FC9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（一）个人申请</w:t>
      </w:r>
    </w:p>
    <w:p w:rsidR="00B55FC9" w:rsidRPr="00B55FC9" w:rsidRDefault="00B55FC9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拟上岗招生的导师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须在学校规定的时间范围内，向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学院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提交申请，同时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附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科研成果、科研项目及经费等证明材料。</w:t>
      </w:r>
    </w:p>
    <w:p w:rsidR="00B55FC9" w:rsidRDefault="00B55FC9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（二）</w:t>
      </w:r>
      <w:r w:rsidR="00E97ED5">
        <w:rPr>
          <w:rFonts w:ascii="Times New Roman" w:eastAsia="仿宋" w:hAnsi="Times New Roman" w:cs="Times New Roman" w:hint="eastAsia"/>
          <w:kern w:val="0"/>
          <w:sz w:val="32"/>
          <w:szCs w:val="32"/>
        </w:rPr>
        <w:t>学院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学位评定分委员会审核</w:t>
      </w:r>
    </w:p>
    <w:p w:rsidR="00B55FC9" w:rsidRPr="00B55FC9" w:rsidRDefault="00B55FC9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学院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学位</w:t>
      </w:r>
      <w:proofErr w:type="gramStart"/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评定分</w:t>
      </w:r>
      <w:proofErr w:type="gramEnd"/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委员会根据申请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者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的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学术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水平、科研经费、承担能力、以往研究生培养质量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及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年度考核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等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情况，对申请招生的导师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资格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进行审核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，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确定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本年度上岗招生导师名单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:rsidR="00B55FC9" w:rsidRDefault="00B55FC9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（三）研究生院备案</w:t>
      </w:r>
    </w:p>
    <w:p w:rsidR="00B55FC9" w:rsidRPr="00281F11" w:rsidRDefault="00B55FC9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学院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学位</w:t>
      </w:r>
      <w:proofErr w:type="gramStart"/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评定分</w:t>
      </w:r>
      <w:proofErr w:type="gramEnd"/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委员会将确定的上岗招生导师名单报送研究生院备案</w:t>
      </w:r>
      <w:r w:rsidR="00A508F5">
        <w:rPr>
          <w:rFonts w:ascii="Times New Roman" w:eastAsia="仿宋" w:hAnsi="Times New Roman" w:cs="Times New Roman" w:hint="eastAsia"/>
          <w:kern w:val="0"/>
          <w:sz w:val="32"/>
          <w:szCs w:val="32"/>
        </w:rPr>
        <w:t>，通过备案的</w:t>
      </w:r>
      <w:r w:rsidR="00A508F5" w:rsidRPr="00A508F5">
        <w:rPr>
          <w:rFonts w:ascii="Times New Roman" w:eastAsia="仿宋" w:hAnsi="Times New Roman" w:cs="Times New Roman" w:hint="eastAsia"/>
          <w:kern w:val="0"/>
          <w:sz w:val="32"/>
          <w:szCs w:val="32"/>
        </w:rPr>
        <w:t>导师方可进</w:t>
      </w:r>
      <w:r w:rsidR="00A508F5">
        <w:rPr>
          <w:rFonts w:ascii="Times New Roman" w:eastAsia="仿宋" w:hAnsi="Times New Roman" w:cs="Times New Roman" w:hint="eastAsia"/>
          <w:kern w:val="0"/>
          <w:sz w:val="32"/>
          <w:szCs w:val="32"/>
        </w:rPr>
        <w:t>行招生</w:t>
      </w:r>
      <w:r w:rsidRPr="00B55FC9"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:rsidR="00B55FC9" w:rsidRDefault="00B55FC9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C615BD" w:rsidRDefault="00C615BD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                         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机械工程学院</w:t>
      </w:r>
    </w:p>
    <w:p w:rsidR="00C615BD" w:rsidRPr="00C615BD" w:rsidRDefault="00C615BD" w:rsidP="008076D3">
      <w:pPr>
        <w:autoSpaceDE w:val="0"/>
        <w:autoSpaceDN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                           2019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年</w:t>
      </w:r>
      <w:r w:rsidR="00AF7A76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  <w:r w:rsidR="00AF7A76"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日</w:t>
      </w:r>
    </w:p>
    <w:sectPr w:rsidR="00C615BD" w:rsidRPr="00C615BD" w:rsidSect="00E97ED5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8A"/>
    <w:rsid w:val="00100AF9"/>
    <w:rsid w:val="00155FE6"/>
    <w:rsid w:val="001B1757"/>
    <w:rsid w:val="00281F11"/>
    <w:rsid w:val="002D637B"/>
    <w:rsid w:val="00344B70"/>
    <w:rsid w:val="00416B32"/>
    <w:rsid w:val="007C1988"/>
    <w:rsid w:val="008076D3"/>
    <w:rsid w:val="0083625C"/>
    <w:rsid w:val="00856F21"/>
    <w:rsid w:val="008B5DB0"/>
    <w:rsid w:val="00904818"/>
    <w:rsid w:val="0094364B"/>
    <w:rsid w:val="00985473"/>
    <w:rsid w:val="009C7B9F"/>
    <w:rsid w:val="00A253DC"/>
    <w:rsid w:val="00A508F5"/>
    <w:rsid w:val="00AF7A76"/>
    <w:rsid w:val="00B32079"/>
    <w:rsid w:val="00B55FC9"/>
    <w:rsid w:val="00B866BB"/>
    <w:rsid w:val="00BC3026"/>
    <w:rsid w:val="00BE691A"/>
    <w:rsid w:val="00C0166C"/>
    <w:rsid w:val="00C36D2B"/>
    <w:rsid w:val="00C615BD"/>
    <w:rsid w:val="00CF4159"/>
    <w:rsid w:val="00D0101A"/>
    <w:rsid w:val="00D13530"/>
    <w:rsid w:val="00DF72CA"/>
    <w:rsid w:val="00E40E80"/>
    <w:rsid w:val="00E97ED5"/>
    <w:rsid w:val="00F2118A"/>
    <w:rsid w:val="00F26589"/>
    <w:rsid w:val="00F66676"/>
    <w:rsid w:val="00F674FC"/>
    <w:rsid w:val="00F97F92"/>
    <w:rsid w:val="00FB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8465DD-E46E-4027-B1A7-31F04E0F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31</cp:revision>
  <dcterms:created xsi:type="dcterms:W3CDTF">2019-01-29T06:53:00Z</dcterms:created>
  <dcterms:modified xsi:type="dcterms:W3CDTF">2019-02-25T04:51:00Z</dcterms:modified>
</cp:coreProperties>
</file>